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D9598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D9598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E36B02">
        <w:rPr>
          <w:rFonts w:ascii="Times New Roman" w:eastAsia="Times New Roman" w:hAnsi="Times New Roman" w:cs="Times New Roman"/>
          <w:b/>
          <w:color w:val="000000"/>
        </w:rPr>
        <w:t>branża browarnicza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9702E">
        <w:rPr>
          <w:rFonts w:ascii="Times New Roman" w:hAnsi="Times New Roman" w:cs="Times New Roman"/>
        </w:rPr>
        <w:t>nży browarniczej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maksymalnie 10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DA3B48">
        <w:rPr>
          <w:rFonts w:ascii="Times New Roman" w:hAnsi="Times New Roman" w:cs="Times New Roman"/>
        </w:rPr>
        <w:t>wanych w terminie do 30 czerwca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E36B02">
        <w:rPr>
          <w:rFonts w:ascii="Times New Roman" w:hAnsi="Times New Roman" w:cs="Times New Roman"/>
        </w:rPr>
        <w:t xml:space="preserve"> siedzibie Beneficjenta (Puck)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>(dojazd do klienta),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36B0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E36B02">
        <w:rPr>
          <w:rFonts w:ascii="Times New Roman" w:hAnsi="Times New Roman" w:cs="Times New Roman"/>
        </w:rPr>
        <w:t>Celem usługi jest dostosowanie procesu technologicznego produkcji piwa do zmian rynkowych</w:t>
      </w:r>
      <w:r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231B14" w:rsidRPr="00E36B02" w:rsidRDefault="00D11653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FB6EFC">
        <w:rPr>
          <w:rFonts w:ascii="Times New Roman" w:hAnsi="Times New Roman" w:cs="Times New Roman"/>
          <w:bCs/>
        </w:rPr>
        <w:t xml:space="preserve">Doradztwo w zakresie branży </w:t>
      </w:r>
      <w:r w:rsidR="00A410F5">
        <w:rPr>
          <w:rFonts w:ascii="Times New Roman" w:hAnsi="Times New Roman" w:cs="Times New Roman"/>
          <w:bCs/>
        </w:rPr>
        <w:t>browarniczej</w:t>
      </w:r>
      <w:r w:rsidR="00E36B02">
        <w:rPr>
          <w:rFonts w:ascii="Times New Roman" w:hAnsi="Times New Roman" w:cs="Times New Roman"/>
          <w:bCs/>
        </w:rPr>
        <w:t xml:space="preserve"> 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 w:rsidRPr="003C2712">
        <w:rPr>
          <w:rFonts w:ascii="Times New Roman" w:eastAsia="Times New Roman" w:hAnsi="Times New Roman" w:cs="Times New Roman"/>
        </w:rPr>
        <w:t xml:space="preserve">Specyfika produkcji tradycyjnych piw 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 w:rsidRPr="003C2712">
        <w:rPr>
          <w:rFonts w:ascii="Times New Roman" w:eastAsia="Times New Roman" w:hAnsi="Times New Roman" w:cs="Times New Roman"/>
        </w:rPr>
        <w:t>Specyfika zmian w produkcji piwa na bazie surowców browarniczych</w:t>
      </w:r>
    </w:p>
    <w:p w:rsidR="003C2712" w:rsidRPr="003C2712" w:rsidRDefault="003C2712" w:rsidP="003C2712">
      <w:pPr>
        <w:numPr>
          <w:ilvl w:val="0"/>
          <w:numId w:val="46"/>
        </w:numPr>
        <w:spacing w:line="25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 i</w:t>
      </w:r>
      <w:r w:rsidRPr="003C2712">
        <w:rPr>
          <w:rFonts w:ascii="Times New Roman" w:eastAsia="Times New Roman" w:hAnsi="Times New Roman" w:cs="Times New Roman"/>
        </w:rPr>
        <w:t>nnowacji sprzętu dostosowanego do realiów czasowych i zmian na rynku browarniczym</w:t>
      </w:r>
      <w:r>
        <w:rPr>
          <w:rFonts w:ascii="Times New Roman" w:eastAsia="Times New Roman" w:hAnsi="Times New Roman" w:cs="Times New Roman"/>
        </w:rPr>
        <w:t>.</w:t>
      </w:r>
      <w:r w:rsidRPr="003C2712">
        <w:rPr>
          <w:rFonts w:ascii="Times New Roman" w:eastAsia="Times New Roman" w:hAnsi="Times New Roman" w:cs="Times New Roman"/>
        </w:rPr>
        <w:t xml:space="preserve">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A3B48">
        <w:rPr>
          <w:rFonts w:ascii="Times New Roman" w:hAnsi="Times New Roman" w:cs="Times New Roman"/>
        </w:rPr>
        <w:t>ńczenia realizacji usług – 30.06</w:t>
      </w:r>
      <w:r w:rsidRPr="00B77982">
        <w:rPr>
          <w:rFonts w:ascii="Times New Roman" w:hAnsi="Times New Roman" w:cs="Times New Roman"/>
        </w:rPr>
        <w:t>.2018.</w:t>
      </w:r>
    </w:p>
    <w:p w:rsidR="006166D6" w:rsidRPr="004A0D12" w:rsidRDefault="006166D6" w:rsidP="004A0D12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3642B6">
        <w:rPr>
          <w:rFonts w:ascii="Times New Roman" w:hAnsi="Times New Roman" w:cs="Times New Roman"/>
          <w:bCs/>
        </w:rPr>
        <w:t>30.06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będzie w siedzibie Beneficjenta (Puck) 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5157B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6166D6" w:rsidRDefault="005157B2" w:rsidP="005157B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zapytaniu ofertowym spełnia łącznie następujące warunki:</w:t>
      </w:r>
    </w:p>
    <w:p w:rsidR="006166D6" w:rsidRPr="00A10242" w:rsidRDefault="00E266E4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posiadają min. 3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letnie doświadczenie 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>piwowarskie</w:t>
      </w:r>
      <w:r w:rsidR="00845501">
        <w:rPr>
          <w:rFonts w:ascii="Times New Roman" w:hAnsi="Times New Roman" w:cs="Times New Roman"/>
          <w:color w:val="auto"/>
          <w:sz w:val="22"/>
          <w:szCs w:val="22"/>
        </w:rPr>
        <w:t xml:space="preserve"> na rynku małych browarów rzemieślniczych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 xml:space="preserve"> (k</w:t>
      </w:r>
      <w:r w:rsidR="00A10242" w:rsidRPr="00A10242">
        <w:rPr>
          <w:rFonts w:ascii="Times New Roman" w:hAnsi="Times New Roman" w:cs="Times New Roman"/>
          <w:color w:val="auto"/>
          <w:sz w:val="22"/>
          <w:szCs w:val="22"/>
        </w:rPr>
        <w:t>onieczna jest zarówno teoretyczna, jak i praktyczna wiedza dotycząca sporządzania receptur i warzenia piwa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166D6" w:rsidRPr="004A0D12" w:rsidRDefault="006166D6" w:rsidP="004A0D12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A10242">
        <w:rPr>
          <w:rFonts w:ascii="Times New Roman" w:hAnsi="Times New Roman" w:cs="Times New Roman"/>
          <w:color w:val="auto"/>
          <w:sz w:val="22"/>
          <w:szCs w:val="22"/>
        </w:rPr>
        <w:t xml:space="preserve"> CV</w:t>
      </w:r>
      <w:r w:rsidR="00F37FE0">
        <w:rPr>
          <w:rFonts w:ascii="Times New Roman" w:hAnsi="Times New Roman" w:cs="Times New Roman"/>
          <w:color w:val="auto"/>
          <w:sz w:val="22"/>
          <w:szCs w:val="22"/>
        </w:rPr>
        <w:t xml:space="preserve">, zaświadczenia 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4A0D12" w:rsidRPr="00B77982" w:rsidRDefault="004A0D12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4A0D12" w:rsidRDefault="006166D6" w:rsidP="004A0D12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E7854" w:rsidRPr="00B77982">
        <w:rPr>
          <w:rFonts w:ascii="Times New Roman" w:hAnsi="Times New Roman" w:cs="Times New Roman"/>
        </w:rPr>
        <w:t xml:space="preserve">doświadczenie </w:t>
      </w:r>
      <w:r w:rsidR="00DE7854">
        <w:rPr>
          <w:rFonts w:ascii="Times New Roman" w:hAnsi="Times New Roman" w:cs="Times New Roman"/>
        </w:rPr>
        <w:t xml:space="preserve">piwowarskie na rynku </w:t>
      </w:r>
      <w:r w:rsidR="00FF0624">
        <w:rPr>
          <w:rFonts w:ascii="Times New Roman" w:hAnsi="Times New Roman" w:cs="Times New Roman"/>
        </w:rPr>
        <w:t xml:space="preserve">małych browarów rzemieślniczych </w:t>
      </w:r>
      <w:r w:rsidRPr="00B77982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>na podstawi</w:t>
      </w:r>
      <w:r w:rsidR="00DE7854">
        <w:rPr>
          <w:rFonts w:ascii="Times New Roman" w:hAnsi="Times New Roman" w:cs="Times New Roman"/>
        </w:rPr>
        <w:t>e udokumentowanej liczby lat do</w:t>
      </w:r>
      <w:r w:rsidR="003C2712">
        <w:rPr>
          <w:rFonts w:ascii="Times New Roman" w:hAnsi="Times New Roman" w:cs="Times New Roman"/>
        </w:rPr>
        <w:t>ś</w:t>
      </w:r>
      <w:r w:rsidR="00DE7854">
        <w:rPr>
          <w:rFonts w:ascii="Times New Roman" w:hAnsi="Times New Roman" w:cs="Times New Roman"/>
        </w:rPr>
        <w:t>wiadczenia</w:t>
      </w:r>
      <w:r w:rsidR="00DB1621">
        <w:rPr>
          <w:rFonts w:ascii="Times New Roman" w:hAnsi="Times New Roman" w:cs="Times New Roman"/>
        </w:rPr>
        <w:t xml:space="preserve"> </w:t>
      </w:r>
      <w:r w:rsidR="00B319D1">
        <w:rPr>
          <w:rFonts w:ascii="Times New Roman" w:hAnsi="Times New Roman" w:cs="Times New Roman"/>
        </w:rPr>
        <w:t xml:space="preserve">w obszarze </w:t>
      </w:r>
      <w:r w:rsidR="00DB1621">
        <w:rPr>
          <w:rFonts w:ascii="Times New Roman" w:hAnsi="Times New Roman" w:cs="Times New Roman"/>
        </w:rPr>
        <w:t>wskazanym w niniejszym zapytaniu ofertowym,</w:t>
      </w:r>
      <w:r w:rsidRPr="00B77982">
        <w:rPr>
          <w:rFonts w:ascii="Times New Roman" w:hAnsi="Times New Roman" w:cs="Times New Roman"/>
        </w:rPr>
        <w:t xml:space="preserve"> zgodnie z załącznikiem nr 3.</w:t>
      </w:r>
    </w:p>
    <w:p w:rsidR="006166D6" w:rsidRPr="004A0D12" w:rsidRDefault="006166D6" w:rsidP="004A0D12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</w:t>
      </w:r>
      <w:r w:rsidR="00B319D1">
        <w:rPr>
          <w:rFonts w:ascii="Times New Roman" w:hAnsi="Times New Roman" w:cs="Times New Roman"/>
        </w:rPr>
        <w:t xml:space="preserve"> 3 uwzględniającego liczbę</w:t>
      </w:r>
      <w:r w:rsidR="00DE7854">
        <w:rPr>
          <w:rFonts w:ascii="Times New Roman" w:hAnsi="Times New Roman" w:cs="Times New Roman"/>
        </w:rPr>
        <w:t xml:space="preserve"> lat doświadczenia </w:t>
      </w:r>
      <w:r w:rsidR="00B319D1">
        <w:rPr>
          <w:rFonts w:ascii="Times New Roman" w:hAnsi="Times New Roman" w:cs="Times New Roman"/>
        </w:rPr>
        <w:t xml:space="preserve">w obszarze </w:t>
      </w:r>
      <w:r w:rsidRPr="00B77982">
        <w:rPr>
          <w:rFonts w:ascii="Times New Roman" w:hAnsi="Times New Roman" w:cs="Times New Roman"/>
        </w:rPr>
        <w:t>wskazanym</w:t>
      </w:r>
      <w:r w:rsidR="00DB1621">
        <w:rPr>
          <w:rFonts w:ascii="Times New Roman" w:hAnsi="Times New Roman" w:cs="Times New Roman"/>
        </w:rPr>
        <w:t xml:space="preserve"> w niniejszym zapytaniu ofertowym</w:t>
      </w:r>
      <w:r w:rsidR="00B319D1">
        <w:rPr>
          <w:rFonts w:ascii="Times New Roman" w:hAnsi="Times New Roman" w:cs="Times New Roman"/>
        </w:rPr>
        <w:t>.</w:t>
      </w:r>
    </w:p>
    <w:p w:rsidR="006166D6" w:rsidRPr="009232E7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B7549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B7549F">
      <w:pPr>
        <w:numPr>
          <w:ilvl w:val="0"/>
          <w:numId w:val="16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0D58C4" w:rsidRDefault="006166D6" w:rsidP="000D58C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0D58C4">
        <w:rPr>
          <w:rFonts w:ascii="Times New Roman" w:hAnsi="Times New Roman" w:cs="Times New Roman"/>
        </w:rPr>
        <w:t xml:space="preserve">Doświadczenie/ kwalifikacje oferenta </w:t>
      </w:r>
      <w:r w:rsidR="00605108">
        <w:rPr>
          <w:rFonts w:ascii="Times New Roman" w:hAnsi="Times New Roman" w:cs="Times New Roman"/>
        </w:rPr>
        <w:t>–</w:t>
      </w:r>
      <w:r w:rsidR="000D58C4" w:rsidRPr="00B77982">
        <w:rPr>
          <w:rFonts w:ascii="Times New Roman" w:hAnsi="Times New Roman" w:cs="Times New Roman"/>
        </w:rPr>
        <w:t xml:space="preserve"> </w:t>
      </w:r>
      <w:r w:rsidR="00605108">
        <w:rPr>
          <w:rFonts w:ascii="Times New Roman" w:hAnsi="Times New Roman" w:cs="Times New Roman"/>
        </w:rPr>
        <w:t>lata doświadczenia</w:t>
      </w:r>
      <w:r w:rsidR="000D58C4" w:rsidRPr="00B77982">
        <w:rPr>
          <w:rFonts w:ascii="Times New Roman" w:hAnsi="Times New Roman" w:cs="Times New Roman"/>
        </w:rPr>
        <w:t xml:space="preserve"> </w:t>
      </w:r>
      <w:r w:rsidR="000D58C4">
        <w:rPr>
          <w:rFonts w:ascii="Times New Roman" w:hAnsi="Times New Roman" w:cs="Times New Roman"/>
        </w:rPr>
        <w:t>piwowarskie</w:t>
      </w:r>
      <w:r w:rsidR="00605108">
        <w:rPr>
          <w:rFonts w:ascii="Times New Roman" w:hAnsi="Times New Roman" w:cs="Times New Roman"/>
        </w:rPr>
        <w:t>go</w:t>
      </w:r>
      <w:r w:rsidR="000D58C4">
        <w:rPr>
          <w:rFonts w:ascii="Times New Roman" w:hAnsi="Times New Roman" w:cs="Times New Roman"/>
        </w:rPr>
        <w:t xml:space="preserve"> na rynku </w:t>
      </w:r>
      <w:r w:rsidR="00605108">
        <w:rPr>
          <w:rFonts w:ascii="Times New Roman" w:hAnsi="Times New Roman" w:cs="Times New Roman"/>
        </w:rPr>
        <w:t xml:space="preserve">małych browarów rzemieślniczych 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="00605108">
        <w:rPr>
          <w:rFonts w:ascii="Times New Roman" w:hAnsi="Times New Roman" w:cs="Times New Roman"/>
          <w:color w:val="000000"/>
        </w:rPr>
        <w:t xml:space="preserve"> – liczba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1E2A5E">
        <w:rPr>
          <w:rFonts w:ascii="Times New Roman" w:hAnsi="Times New Roman" w:cs="Times New Roman"/>
          <w:color w:val="000000"/>
        </w:rPr>
        <w:t>lat doświadczenia Wykonawcy</w:t>
      </w:r>
      <w:r w:rsidRPr="00B77982">
        <w:rPr>
          <w:rFonts w:ascii="Times New Roman" w:hAnsi="Times New Roman" w:cs="Times New Roman"/>
          <w:color w:val="000000"/>
        </w:rPr>
        <w:t xml:space="preserve"> w ocenianej ofercie </w:t>
      </w:r>
    </w:p>
    <w:p w:rsidR="00B77982" w:rsidRPr="001E2A5E" w:rsidRDefault="006166D6" w:rsidP="001E2A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="00605108">
        <w:rPr>
          <w:rFonts w:ascii="Times New Roman" w:hAnsi="Times New Roman" w:cs="Times New Roman"/>
          <w:color w:val="000000"/>
        </w:rPr>
        <w:t xml:space="preserve"> – największa liczba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1E2A5E">
        <w:rPr>
          <w:rFonts w:ascii="Times New Roman" w:hAnsi="Times New Roman" w:cs="Times New Roman"/>
          <w:color w:val="000000"/>
        </w:rPr>
        <w:t xml:space="preserve"> lat </w:t>
      </w:r>
      <w:r w:rsidR="00FF0624">
        <w:rPr>
          <w:rFonts w:ascii="Times New Roman" w:hAnsi="Times New Roman" w:cs="Times New Roman"/>
          <w:color w:val="000000"/>
        </w:rPr>
        <w:t>doś</w:t>
      </w:r>
      <w:r w:rsidR="001E2A5E">
        <w:rPr>
          <w:rFonts w:ascii="Times New Roman" w:hAnsi="Times New Roman" w:cs="Times New Roman"/>
          <w:color w:val="000000"/>
        </w:rPr>
        <w:t>wiadczenia</w:t>
      </w:r>
      <w:r w:rsidR="004B071B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>spośród ofert złożonych przez Wy</w:t>
      </w:r>
      <w:r w:rsidR="001E2A5E">
        <w:rPr>
          <w:rFonts w:ascii="Times New Roman" w:hAnsi="Times New Roman" w:cs="Times New Roman"/>
          <w:color w:val="000000"/>
        </w:rPr>
        <w:t>konawców.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ZOKo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ormie papierowej (z dopiskiem „17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4A0D12">
        <w:rPr>
          <w:rFonts w:ascii="Times New Roman" w:hAnsi="Times New Roman" w:cs="Times New Roman"/>
          <w:b/>
          <w:u w:val="single"/>
        </w:rPr>
        <w:t>06</w:t>
      </w:r>
      <w:r w:rsidR="004A0D12" w:rsidRPr="004A0D12">
        <w:rPr>
          <w:rFonts w:ascii="Times New Roman" w:hAnsi="Times New Roman" w:cs="Times New Roman"/>
          <w:b/>
          <w:u w:val="single"/>
        </w:rPr>
        <w:t>.04</w:t>
      </w:r>
      <w:r w:rsidR="00B77982" w:rsidRPr="004A0D1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091880">
        <w:rPr>
          <w:rFonts w:ascii="Times New Roman" w:hAnsi="Times New Roman" w:cs="Times New Roman"/>
        </w:rPr>
        <w:t>letnie doświadczenie piwowarskie</w:t>
      </w:r>
      <w:r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091880">
        <w:rPr>
          <w:rFonts w:ascii="Times New Roman" w:hAnsi="Times New Roman" w:cs="Times New Roman"/>
        </w:rPr>
        <w:t xml:space="preserve">k nr 3 wykaz lat doświadczenia </w:t>
      </w:r>
      <w:r w:rsidR="00420BEE">
        <w:rPr>
          <w:rFonts w:ascii="Times New Roman" w:hAnsi="Times New Roman" w:cs="Times New Roman"/>
        </w:rPr>
        <w:t>zgodnych z obszarem wskazanym w treści niniejszego zapytania ofertowego.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A0D12" w:rsidRDefault="004A0D1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A0D12" w:rsidRPr="00B77982" w:rsidRDefault="004A0D1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84193E" w:rsidRPr="0084193E">
        <w:rPr>
          <w:rFonts w:ascii="Times New Roman" w:hAnsi="Times New Roman" w:cs="Times New Roman"/>
        </w:rPr>
        <w:t>17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5A2B68">
        <w:rPr>
          <w:rFonts w:ascii="Times New Roman" w:eastAsia="Times New Roman" w:hAnsi="Times New Roman" w:cs="Times New Roman"/>
          <w:color w:val="000000"/>
        </w:rPr>
        <w:t>branża browarnicza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5A2B68">
        <w:rPr>
          <w:rFonts w:ascii="Times New Roman" w:hAnsi="Times New Roman" w:cs="Times New Roman"/>
        </w:rPr>
        <w:t>PS), w terminie do 31 maja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5A2B68">
              <w:rPr>
                <w:rFonts w:ascii="Times New Roman" w:hAnsi="Times New Roman" w:cs="Times New Roman"/>
              </w:rPr>
              <w:t xml:space="preserve"> (branża browarnicza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7240B2">
        <w:rPr>
          <w:rFonts w:ascii="Times New Roman" w:hAnsi="Times New Roman" w:cs="Times New Roman"/>
        </w:rPr>
        <w:t>lat doświadczenia</w:t>
      </w:r>
      <w:r w:rsidR="00165C76">
        <w:rPr>
          <w:rFonts w:ascii="Times New Roman" w:hAnsi="Times New Roman" w:cs="Times New Roman"/>
        </w:rPr>
        <w:t xml:space="preserve">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E126D0" w:rsidRPr="00B77982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84193E" w:rsidRPr="0084193E">
        <w:rPr>
          <w:rFonts w:ascii="Times New Roman" w:hAnsi="Times New Roman" w:cs="Times New Roman"/>
          <w:b/>
          <w:caps/>
        </w:rPr>
        <w:t>17</w:t>
      </w:r>
      <w:r w:rsidR="00294644" w:rsidRPr="0084193E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96D3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lat 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B060F5">
        <w:rPr>
          <w:rFonts w:ascii="Times New Roman" w:hAnsi="Times New Roman" w:cs="Times New Roman"/>
          <w:b/>
        </w:rPr>
        <w:t>(branża browarnicza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</w:t>
      </w:r>
      <w:r w:rsidR="0084193E">
        <w:rPr>
          <w:rFonts w:ascii="Times New Roman" w:hAnsi="Times New Roman" w:cs="Times New Roman"/>
        </w:rPr>
        <w:t>oradcy, który osobiście będzie realizował usługę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B45033" w:rsidRDefault="00B45033" w:rsidP="006166D6">
      <w:pPr>
        <w:spacing w:line="276" w:lineRule="auto"/>
        <w:rPr>
          <w:rFonts w:ascii="Times New Roman" w:hAnsi="Times New Roman" w:cs="Times New Roman"/>
        </w:rPr>
      </w:pPr>
    </w:p>
    <w:p w:rsidR="009D17F1" w:rsidRPr="00B8160D" w:rsidRDefault="00A96D32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lat doświ</w:t>
      </w:r>
      <w:r w:rsidR="00E94029">
        <w:rPr>
          <w:rFonts w:ascii="Times New Roman" w:hAnsi="Times New Roman" w:cs="Times New Roman"/>
          <w:b/>
        </w:rPr>
        <w:t>adczenia piwowarskiego na rynku rzemieślniczym</w:t>
      </w:r>
      <w:r w:rsidR="009D17F1"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93" w:type="dxa"/>
        <w:tblLook w:val="04A0"/>
      </w:tblPr>
      <w:tblGrid>
        <w:gridCol w:w="530"/>
        <w:gridCol w:w="3689"/>
        <w:gridCol w:w="5274"/>
      </w:tblGrid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A96D32" w:rsidRPr="00AC7757" w:rsidRDefault="0084193E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pracy</w:t>
            </w: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</w:t>
            </w: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D32" w:rsidRPr="00AC7757" w:rsidTr="00A96D32">
        <w:tc>
          <w:tcPr>
            <w:tcW w:w="530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A96D32" w:rsidRPr="00AC7757" w:rsidRDefault="00A96D32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A96D32" w:rsidP="006166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lat doświadczenia</w:t>
      </w:r>
      <w:r w:rsidR="006166D6" w:rsidRPr="00B779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2A" w:rsidRDefault="00C75D2A" w:rsidP="009B6E2A">
      <w:pPr>
        <w:spacing w:after="0" w:line="240" w:lineRule="auto"/>
      </w:pPr>
      <w:r>
        <w:separator/>
      </w:r>
    </w:p>
  </w:endnote>
  <w:endnote w:type="continuationSeparator" w:id="0">
    <w:p w:rsidR="00C75D2A" w:rsidRDefault="00C75D2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2A" w:rsidRDefault="00C75D2A" w:rsidP="009B6E2A">
      <w:pPr>
        <w:spacing w:after="0" w:line="240" w:lineRule="auto"/>
      </w:pPr>
      <w:r>
        <w:separator/>
      </w:r>
    </w:p>
  </w:footnote>
  <w:footnote w:type="continuationSeparator" w:id="0">
    <w:p w:rsidR="00C75D2A" w:rsidRDefault="00C75D2A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80839"/>
    <w:multiLevelType w:val="hybridMultilevel"/>
    <w:tmpl w:val="50D8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11"/>
  </w:num>
  <w:num w:numId="5">
    <w:abstractNumId w:val="35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4"/>
  </w:num>
  <w:num w:numId="18">
    <w:abstractNumId w:val="40"/>
  </w:num>
  <w:num w:numId="19">
    <w:abstractNumId w:val="30"/>
  </w:num>
  <w:num w:numId="20">
    <w:abstractNumId w:val="38"/>
  </w:num>
  <w:num w:numId="21">
    <w:abstractNumId w:val="21"/>
  </w:num>
  <w:num w:numId="22">
    <w:abstractNumId w:val="23"/>
  </w:num>
  <w:num w:numId="23">
    <w:abstractNumId w:val="44"/>
  </w:num>
  <w:num w:numId="24">
    <w:abstractNumId w:val="28"/>
  </w:num>
  <w:num w:numId="25">
    <w:abstractNumId w:val="42"/>
  </w:num>
  <w:num w:numId="26">
    <w:abstractNumId w:val="18"/>
  </w:num>
  <w:num w:numId="27">
    <w:abstractNumId w:val="17"/>
  </w:num>
  <w:num w:numId="28">
    <w:abstractNumId w:val="29"/>
  </w:num>
  <w:num w:numId="29">
    <w:abstractNumId w:val="24"/>
  </w:num>
  <w:num w:numId="30">
    <w:abstractNumId w:val="32"/>
  </w:num>
  <w:num w:numId="31">
    <w:abstractNumId w:val="43"/>
  </w:num>
  <w:num w:numId="32">
    <w:abstractNumId w:val="15"/>
  </w:num>
  <w:num w:numId="33">
    <w:abstractNumId w:val="12"/>
  </w:num>
  <w:num w:numId="34">
    <w:abstractNumId w:val="39"/>
  </w:num>
  <w:num w:numId="35">
    <w:abstractNumId w:val="36"/>
  </w:num>
  <w:num w:numId="36">
    <w:abstractNumId w:val="26"/>
  </w:num>
  <w:num w:numId="37">
    <w:abstractNumId w:val="14"/>
  </w:num>
  <w:num w:numId="38">
    <w:abstractNumId w:val="9"/>
  </w:num>
  <w:num w:numId="39">
    <w:abstractNumId w:val="25"/>
  </w:num>
  <w:num w:numId="40">
    <w:abstractNumId w:val="31"/>
  </w:num>
  <w:num w:numId="41">
    <w:abstractNumId w:val="4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6"/>
  </w:num>
  <w:num w:numId="46">
    <w:abstractNumId w:val="4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18F9"/>
    <w:rsid w:val="000569E6"/>
    <w:rsid w:val="000842C2"/>
    <w:rsid w:val="00091880"/>
    <w:rsid w:val="00093ACC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E1D19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0D12"/>
    <w:rsid w:val="004A6CDA"/>
    <w:rsid w:val="004B0083"/>
    <w:rsid w:val="004B071B"/>
    <w:rsid w:val="004C4E75"/>
    <w:rsid w:val="004C56EF"/>
    <w:rsid w:val="004C5D4B"/>
    <w:rsid w:val="004F15C8"/>
    <w:rsid w:val="00500DC0"/>
    <w:rsid w:val="005026B2"/>
    <w:rsid w:val="005157B2"/>
    <w:rsid w:val="0051666A"/>
    <w:rsid w:val="00521A8D"/>
    <w:rsid w:val="005607D5"/>
    <w:rsid w:val="00563983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166D6"/>
    <w:rsid w:val="00620286"/>
    <w:rsid w:val="00634228"/>
    <w:rsid w:val="006534AF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F2D2D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14B73"/>
    <w:rsid w:val="009232E7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10242"/>
    <w:rsid w:val="00A1117E"/>
    <w:rsid w:val="00A236AD"/>
    <w:rsid w:val="00A410F5"/>
    <w:rsid w:val="00A429FA"/>
    <w:rsid w:val="00A42C95"/>
    <w:rsid w:val="00A46B48"/>
    <w:rsid w:val="00A521D1"/>
    <w:rsid w:val="00A61C63"/>
    <w:rsid w:val="00A72458"/>
    <w:rsid w:val="00A86BEA"/>
    <w:rsid w:val="00A9063B"/>
    <w:rsid w:val="00A957C1"/>
    <w:rsid w:val="00A96D32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702E"/>
    <w:rsid w:val="00B97CF4"/>
    <w:rsid w:val="00BB4965"/>
    <w:rsid w:val="00BE3D72"/>
    <w:rsid w:val="00C0149F"/>
    <w:rsid w:val="00C329FC"/>
    <w:rsid w:val="00C533D2"/>
    <w:rsid w:val="00C5492F"/>
    <w:rsid w:val="00C64233"/>
    <w:rsid w:val="00C6433D"/>
    <w:rsid w:val="00C72947"/>
    <w:rsid w:val="00C75D2A"/>
    <w:rsid w:val="00C771E8"/>
    <w:rsid w:val="00C84F7F"/>
    <w:rsid w:val="00C9225E"/>
    <w:rsid w:val="00D11211"/>
    <w:rsid w:val="00D11653"/>
    <w:rsid w:val="00D277F9"/>
    <w:rsid w:val="00D320C2"/>
    <w:rsid w:val="00D36606"/>
    <w:rsid w:val="00D53A91"/>
    <w:rsid w:val="00D53C0F"/>
    <w:rsid w:val="00D7257E"/>
    <w:rsid w:val="00D7457C"/>
    <w:rsid w:val="00D8073C"/>
    <w:rsid w:val="00D8472D"/>
    <w:rsid w:val="00D9269F"/>
    <w:rsid w:val="00D95980"/>
    <w:rsid w:val="00DA3B48"/>
    <w:rsid w:val="00DB1621"/>
    <w:rsid w:val="00DB5A48"/>
    <w:rsid w:val="00DB6096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50F0F"/>
    <w:rsid w:val="00E63506"/>
    <w:rsid w:val="00E851DF"/>
    <w:rsid w:val="00E9274E"/>
    <w:rsid w:val="00E94029"/>
    <w:rsid w:val="00EA78D2"/>
    <w:rsid w:val="00EC4722"/>
    <w:rsid w:val="00ED5257"/>
    <w:rsid w:val="00ED5DEF"/>
    <w:rsid w:val="00EE06EF"/>
    <w:rsid w:val="00EF0C9D"/>
    <w:rsid w:val="00F37FE0"/>
    <w:rsid w:val="00F441A8"/>
    <w:rsid w:val="00F82D5D"/>
    <w:rsid w:val="00FA1648"/>
    <w:rsid w:val="00FB6EFC"/>
    <w:rsid w:val="00FC7362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2018-03-26T07:47:00Z</cp:lastPrinted>
  <dcterms:created xsi:type="dcterms:W3CDTF">2018-03-27T08:16:00Z</dcterms:created>
  <dcterms:modified xsi:type="dcterms:W3CDTF">2018-03-27T09:37:00Z</dcterms:modified>
</cp:coreProperties>
</file>